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黑体" w:hAnsi="Times New Roman" w:hint="eastAsia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4</w:t>
      </w:r>
    </w:p>
    <w:p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</w:p>
    <w:p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首发</w:t>
      </w:r>
      <w:r>
        <w:rPr>
          <w:rFonts w:ascii="Times New Roman" w:eastAsia="方正小标宋简体" w:hAnsi="Times New Roman"/>
          <w:sz w:val="44"/>
          <w:szCs w:val="44"/>
        </w:rPr>
        <w:t>集聚区项目相关名词解释</w:t>
      </w:r>
    </w:p>
    <w:p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</w:p>
    <w:p>
      <w:pPr>
        <w:ind w:firstLineChars="200" w:firstLine="640"/>
        <w:rPr>
          <w:rFonts w:ascii="仿宋_GB2312" w:eastAsia="仿宋_GB2312" w:cs="仿宋"/>
          <w:color w:val="000000"/>
          <w:sz w:val="32"/>
          <w:szCs w:val="32"/>
          <w:lang w:bidi="ar-SA"/>
        </w:rPr>
      </w:pPr>
      <w:r>
        <w:rPr>
          <w:rFonts w:ascii="仿宋_GB2312" w:eastAsia="仿宋_GB2312" w:cs="仿宋"/>
          <w:color w:val="000000"/>
          <w:sz w:val="32"/>
          <w:szCs w:val="32"/>
          <w:lang w:bidi="ar-SA"/>
        </w:rPr>
        <w:t>一、</w:t>
      </w:r>
      <w:r>
        <w:rPr>
          <w:rFonts w:ascii="仿宋_GB2312" w:eastAsia="仿宋_GB2312" w:cs="仿宋" w:hint="eastAsia"/>
          <w:color w:val="000000"/>
          <w:sz w:val="32"/>
          <w:szCs w:val="32"/>
          <w:lang w:bidi="ar-SA"/>
        </w:rPr>
        <w:t>本政策所称首发集聚区是指</w:t>
      </w:r>
      <w:r>
        <w:rPr>
          <w:rFonts w:ascii="仿宋_GB2312" w:eastAsia="仿宋_GB2312" w:cs="仿宋"/>
          <w:color w:val="000000"/>
          <w:sz w:val="32"/>
          <w:szCs w:val="32"/>
          <w:lang w:bidi="ar-SA"/>
        </w:rPr>
        <w:t>：</w:t>
      </w:r>
      <w:r>
        <w:rPr>
          <w:rFonts w:ascii="仿宋_GB2312" w:eastAsia="仿宋_GB2312" w:cs="仿宋" w:hint="eastAsia"/>
          <w:color w:val="000000"/>
          <w:sz w:val="32"/>
          <w:szCs w:val="32"/>
          <w:lang w:bidi="ar-SA"/>
        </w:rPr>
        <w:t>由企业统一规划并投资建设的消费区域（包括但不限</w:t>
      </w:r>
      <w:r>
        <w:rPr>
          <w:rFonts w:ascii="仿宋_GB2312" w:eastAsia="仿宋_GB2312" w:cs="仿宋"/>
          <w:color w:val="000000"/>
          <w:sz w:val="32"/>
          <w:szCs w:val="32"/>
          <w:lang w:bidi="ar-SA"/>
        </w:rPr>
        <w:t>于</w:t>
      </w:r>
      <w:r>
        <w:rPr>
          <w:rFonts w:ascii="仿宋_GB2312" w:eastAsia="仿宋_GB2312" w:cs="仿宋" w:hint="eastAsia"/>
          <w:color w:val="000000"/>
          <w:sz w:val="32"/>
          <w:szCs w:val="32"/>
          <w:lang w:bidi="ar-SA"/>
        </w:rPr>
        <w:t>商业综合体和商业街区等空间形态），区内重点打造“首发、首秀、首店”等新场景。具有时尚、品质、潮流等新特征，是一个地区商业活力、消费实力、创新能力、品牌影响力和开放度的重要体现，是符合消费升级和高质量发展要求的一种经济形态。</w:t>
      </w:r>
    </w:p>
    <w:p>
      <w:pPr>
        <w:ind w:firstLineChars="200" w:firstLine="640"/>
        <w:rPr>
          <w:rFonts w:ascii="Times New Roman" w:eastAsia="仿宋_GB2312" w:cs="仿宋_GB2312" w:hAnsi="Times New Roman" w:hint="eastAsia"/>
          <w:color w:val="000000"/>
          <w:sz w:val="32"/>
          <w:szCs w:val="32"/>
        </w:rPr>
      </w:pPr>
      <w:r>
        <w:rPr>
          <w:rFonts w:ascii="Times New Roman" w:eastAsia="仿宋_GB2312" w:cs="仿宋_GB2312" w:hAnsi="Times New Roman"/>
          <w:color w:val="000000"/>
          <w:sz w:val="32"/>
          <w:szCs w:val="32"/>
        </w:rPr>
        <w:t>二、</w:t>
      </w:r>
      <w:bookmarkStart w:id="0" w:name="_GoBack"/>
      <w:bookmarkEnd w:id="0"/>
      <w:r>
        <w:rPr>
          <w:rFonts w:ascii="Times New Roman" w:eastAsia="仿宋_GB2312" w:cs="仿宋_GB2312" w:hAnsi="Times New Roman"/>
          <w:color w:val="000000"/>
          <w:sz w:val="32"/>
          <w:szCs w:val="32"/>
        </w:rPr>
        <w:t>本政策</w:t>
      </w:r>
      <w:r>
        <w:rPr>
          <w:rFonts w:ascii="仿宋_GB2312" w:eastAsia="仿宋_GB2312" w:cs="仿宋" w:hint="eastAsia"/>
          <w:color w:val="000000"/>
          <w:sz w:val="32"/>
          <w:szCs w:val="32"/>
          <w:lang w:bidi="ar-SA"/>
        </w:rPr>
        <w:t>所称商业配套投资</w:t>
      </w:r>
      <w:r>
        <w:rPr>
          <w:rFonts w:ascii="仿宋_GB2312" w:eastAsia="仿宋_GB2312" w:cs="仿宋"/>
          <w:color w:val="000000"/>
          <w:sz w:val="32"/>
          <w:szCs w:val="32"/>
          <w:lang w:bidi="ar-SA"/>
        </w:rPr>
        <w:t>是指：新建或改造区域内</w:t>
      </w:r>
      <w:r>
        <w:rPr>
          <w:rFonts w:ascii="仿宋_GB2312" w:eastAsia="仿宋_GB2312" w:cs="仿宋"/>
          <w:color w:val="000000"/>
          <w:sz w:val="32"/>
          <w:szCs w:val="32"/>
        </w:rPr>
        <w:t>主要围绕提升功能性、体验感和消费便利性，满足商户经营及消费者需求投入的资金，主要包括以下7个方面：</w:t>
      </w:r>
    </w:p>
    <w:p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ind w:firstLineChars="200" w:firstLine="640"/>
        <w:rPr>
          <w:rFonts w:ascii="仿宋_GB2312" w:eastAsia="仿宋_GB2312" w:cs="仿宋"/>
          <w:color w:val="000000"/>
          <w:sz w:val="32"/>
          <w:szCs w:val="32"/>
        </w:rPr>
      </w:pPr>
      <w:r>
        <w:rPr>
          <w:rFonts w:ascii="仿宋_GB2312" w:eastAsia="仿宋_GB2312" w:cs="仿宋"/>
          <w:color w:val="000000"/>
          <w:sz w:val="32"/>
          <w:szCs w:val="32"/>
        </w:rPr>
        <w:t>1.装修改造：外立面翻新、内部动线优化、吊顶地面装饰、灯光设计（氛围灯、指引灯）等。</w:t>
      </w:r>
    </w:p>
    <w:p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ind w:firstLineChars="200" w:firstLine="640"/>
        <w:rPr>
          <w:rFonts w:ascii="仿宋_GB2312" w:eastAsia="仿宋_GB2312" w:cs="仿宋"/>
          <w:color w:val="000000"/>
          <w:sz w:val="32"/>
          <w:szCs w:val="32"/>
        </w:rPr>
      </w:pPr>
      <w:r>
        <w:rPr>
          <w:rFonts w:ascii="仿宋_GB2312" w:eastAsia="仿宋_GB2312" w:cs="仿宋"/>
          <w:color w:val="000000"/>
          <w:sz w:val="32"/>
          <w:szCs w:val="32"/>
        </w:rPr>
        <w:t>2.景观打造：室内绿植、主题装置、水景/雕塑等，增强商场视觉吸引力。</w:t>
      </w:r>
    </w:p>
    <w:p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ind w:firstLineChars="200" w:firstLine="640"/>
        <w:rPr>
          <w:rFonts w:ascii="仿宋_GB2312" w:eastAsia="仿宋_GB2312" w:cs="仿宋"/>
          <w:color w:val="000000"/>
          <w:sz w:val="32"/>
          <w:szCs w:val="32"/>
        </w:rPr>
      </w:pPr>
      <w:r>
        <w:rPr>
          <w:rFonts w:ascii="仿宋_GB2312" w:eastAsia="仿宋_GB2312" w:cs="仿宋"/>
          <w:color w:val="000000"/>
          <w:sz w:val="32"/>
          <w:szCs w:val="32"/>
        </w:rPr>
        <w:t>3.智能系统：监控安防系统、客流统计系统、Wi-Fi全覆盖、智能支付终端等。</w:t>
      </w:r>
    </w:p>
    <w:p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ind w:firstLineChars="200" w:firstLine="640"/>
        <w:rPr>
          <w:rFonts w:ascii="仿宋_GB2312" w:eastAsia="仿宋_GB2312" w:cs="仿宋"/>
          <w:color w:val="000000"/>
          <w:sz w:val="32"/>
          <w:szCs w:val="32"/>
        </w:rPr>
      </w:pPr>
      <w:r>
        <w:rPr>
          <w:rFonts w:ascii="仿宋_GB2312" w:eastAsia="仿宋_GB2312" w:cs="仿宋"/>
          <w:color w:val="000000"/>
          <w:sz w:val="32"/>
          <w:szCs w:val="32"/>
        </w:rPr>
        <w:t>4.后勤服务：仓储空间、货物运输通道、垃圾处理系统、维修保养服务点等。</w:t>
      </w:r>
    </w:p>
    <w:p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ind w:firstLineChars="200" w:firstLine="640"/>
        <w:rPr>
          <w:rFonts w:ascii="仿宋_GB2312" w:eastAsia="仿宋_GB2312" w:cs="仿宋"/>
          <w:color w:val="000000"/>
          <w:sz w:val="32"/>
          <w:szCs w:val="32"/>
        </w:rPr>
      </w:pPr>
      <w:r>
        <w:rPr>
          <w:rFonts w:ascii="仿宋_GB2312" w:eastAsia="仿宋_GB2312" w:cs="仿宋"/>
          <w:color w:val="000000"/>
          <w:sz w:val="32"/>
          <w:szCs w:val="32"/>
        </w:rPr>
        <w:t>5.经营辅助：广告位（灯箱、LED屏）、促销活动场地（中厅、连廊）、商户员工休息区、培训会议室等。</w:t>
      </w:r>
    </w:p>
    <w:p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ind w:firstLineChars="200" w:firstLine="640"/>
        <w:rPr>
          <w:rFonts w:ascii="仿宋_GB2312" w:eastAsia="仿宋_GB2312" w:cs="仿宋"/>
          <w:color w:val="000000"/>
          <w:sz w:val="32"/>
          <w:szCs w:val="32"/>
        </w:rPr>
      </w:pPr>
      <w:r>
        <w:rPr>
          <w:rFonts w:ascii="仿宋_GB2312" w:eastAsia="仿宋_GB2312" w:cs="仿宋"/>
          <w:color w:val="000000"/>
          <w:sz w:val="32"/>
          <w:szCs w:val="32"/>
        </w:rPr>
        <w:t>6.休闲配套：公共休息区（座椅、绿植景观）、亲子游乐区、阅读角、艺术展览区、吸烟室等。</w:t>
      </w:r>
    </w:p>
    <w:p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ind w:firstLineChars="200" w:firstLine="640"/>
        <w:rPr>
          <w:rFonts w:ascii="仿宋_GB2312" w:eastAsia="仿宋_GB2312" w:cs="仿宋" w:hint="eastAsia"/>
          <w:color w:val="000000"/>
          <w:sz w:val="32"/>
          <w:szCs w:val="32"/>
        </w:rPr>
      </w:pPr>
      <w:r>
        <w:rPr>
          <w:rFonts w:ascii="仿宋_GB2312" w:eastAsia="仿宋_GB2312" w:cs="仿宋"/>
          <w:color w:val="000000"/>
          <w:sz w:val="32"/>
          <w:szCs w:val="32"/>
        </w:rPr>
        <w:t>7.餐饮配套：美食广场、特色餐饮区（含排烟、燃气等专项改造）、水吧、咖啡店等。</w:t>
      </w:r>
    </w:p>
    <w:sectPr>
      <w:footerReference w:type="default" r:id="rId2"/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方正书宋_GBK"/>
    <w:panose1 w:val="00000000000000000000"/>
    <w:charset w:val="86"/>
    <w:family w:val="auto"/>
    <w:pitch w:val="variable"/>
    <w:sig w:usb0="00000000" w:usb1="00000000" w:usb2="00000000" w:usb3="00000000" w:csb0="00000000" w:csb1="00000000"/>
  </w:font>
  <w:font w:name="Times New Roman">
    <w:altName w:val="DejaVu Sans"/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variable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">
    <w:altName w:val="微软雅黑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Luxi Sans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Courier New">
    <w:altName w:val="DejaVu Sans"/>
    <w:panose1 w:val="02070409020205090404"/>
    <w:charset w:val="00"/>
    <w:family w:val="auto"/>
    <w:pitch w:val="variable"/>
    <w:sig w:usb0="00007A87" w:usb1="80000000" w:usb2="00000008" w:usb3="00000000" w:csb0="400001FF" w:csb1="FFFF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5"/>
      <w:framePr w:w="0" w:hRule="auto" w:wrap="around" w:vAnchor="text" w:hAnchor="margin" w:xAlign="outside" w:y="1" w:anchorLock="0"/>
      <w:tabs>
        <w:tab w:val="center" w:pos="4153"/>
        <w:tab w:val="right" w:pos="8306"/>
      </w:tabs>
      <w:ind w:leftChars="100" w:left="210" w:rightChars="100" w:right="210"/>
      <w:rPr>
        <w:rStyle w:val="16"/>
        <w:rFonts w:ascii="宋体" w:hAnsi="宋体"/>
        <w:sz w:val="28"/>
        <w:szCs w:val="28"/>
      </w:rPr>
    </w:pPr>
    <w:r>
      <w:rPr>
        <w:rStyle w:val="16"/>
        <w:rFonts w:ascii="宋体" w:hAnsi="宋体" w:hint="eastAsia"/>
        <w:sz w:val="28"/>
        <w:szCs w:val="28"/>
      </w:rPr>
      <w:t xml:space="preserve">— </w:t>
    </w:r>
    <w:r>
      <w:rPr>
        <w:rStyle w:val="16"/>
        <w:rFonts w:ascii="宋体" w:hAnsi="宋体"/>
        <w:sz w:val="28"/>
        <w:szCs w:val="28"/>
      </w:rPr>
      <w:fldChar w:fldCharType="begin"/>
    </w:r>
    <w:r>
      <w:rPr>
        <w:rStyle w:val="16"/>
        <w:rFonts w:ascii="宋体" w:hAnsi="宋体"/>
        <w:sz w:val="28"/>
        <w:szCs w:val="28"/>
      </w:rPr>
      <w:instrText xml:space="preserve">PAGE  </w:instrText>
    </w:r>
    <w:r>
      <w:rPr>
        <w:rFonts w:ascii="宋体"/>
        <w:sz w:val="28"/>
        <w:szCs w:val="28"/>
      </w:rPr>
      <w:fldChar w:fldCharType="separate"/>
    </w:r>
    <w:r>
      <w:rPr>
        <w:rStyle w:val="16"/>
        <w:rFonts w:ascii="宋体" w:hAnsi="宋体"/>
        <w:sz w:val="28"/>
        <w:szCs w:val="28"/>
      </w:rPr>
      <w:t>7</w:t>
    </w:r>
    <w:r>
      <w:rPr>
        <w:rFonts w:ascii="宋体"/>
        <w:sz w:val="28"/>
        <w:szCs w:val="28"/>
      </w:rPr>
      <w:fldChar w:fldCharType="end"/>
    </w:r>
    <w:r>
      <w:rPr>
        <w:rStyle w:val="16"/>
        <w:rFonts w:ascii="宋体" w:hAnsi="宋体" w:hint="eastAsia"/>
        <w:sz w:val="28"/>
        <w:szCs w:val="28"/>
      </w:rPr>
      <w:t xml:space="preserve"> —</w:t>
    </w:r>
  </w:p>
  <w:p>
    <w:pPr>
      <w:pStyle w:val="15"/>
      <w:tabs>
        <w:tab w:val="center" w:pos="4153"/>
        <w:tab w:val="right" w:pos="8306"/>
      </w:tabs>
      <w:ind w:right="360" w:firstLine="360"/>
    </w:pP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20"/>
  <w:bordersDoNotSurroundHeader/>
  <w:bordersDoNotSurroundFooter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Times New Roman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16">
    <w:name w:val="page number"/>
    <w:basedOn w:val="10"/>
  </w:style>
  <w:style w:type="paragraph" w:styleId="17">
    <w:name w:val="HTML Preformatted"/>
    <w:basedOn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335</TotalTime>
  <Application>Yozo_Office27021597764231179</Application>
  <Pages>2</Pages>
  <Words>506</Words>
  <Characters>519</Characters>
  <Lines>27</Lines>
  <Paragraphs>11</Paragraphs>
  <CharactersWithSpaces>519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kylin</cp:lastModifiedBy>
  <cp:revision>0</cp:revision>
  <dcterms:created xsi:type="dcterms:W3CDTF">2014-11-01T04:08:00Z</dcterms:created>
  <dcterms:modified xsi:type="dcterms:W3CDTF">2025-08-01T01:42:02Z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2052-11.8.2.9339</vt:lpwstr>
  </property>
</Properties>
</file>